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E5F48" w14:textId="504AD3B1" w:rsidR="0036632E" w:rsidRDefault="002A54C7" w:rsidP="002A54C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A54C7">
        <w:rPr>
          <w:b/>
          <w:sz w:val="32"/>
          <w:szCs w:val="32"/>
        </w:rPr>
        <w:t xml:space="preserve"> </w:t>
      </w:r>
      <w:r w:rsidR="002B6A84">
        <w:rPr>
          <w:b/>
          <w:sz w:val="32"/>
          <w:szCs w:val="32"/>
        </w:rPr>
        <w:t>Economics</w:t>
      </w:r>
      <w:r w:rsidRPr="002A54C7">
        <w:rPr>
          <w:b/>
          <w:color w:val="008000"/>
          <w:sz w:val="32"/>
          <w:szCs w:val="32"/>
        </w:rPr>
        <w:t xml:space="preserve"> </w:t>
      </w:r>
      <w:r w:rsidRPr="002A54C7">
        <w:rPr>
          <w:b/>
          <w:sz w:val="32"/>
          <w:szCs w:val="32"/>
        </w:rPr>
        <w:t xml:space="preserve">Syllabus </w:t>
      </w:r>
    </w:p>
    <w:p w14:paraId="55FA0D12" w14:textId="7D2DBDD2" w:rsidR="002A54C7" w:rsidRDefault="005200F5" w:rsidP="002A54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2019-20</w:t>
      </w:r>
    </w:p>
    <w:p w14:paraId="74D4430D" w14:textId="77777777" w:rsidR="002A54C7" w:rsidRDefault="002A54C7" w:rsidP="002A54C7">
      <w:pPr>
        <w:rPr>
          <w:b/>
          <w:sz w:val="32"/>
          <w:szCs w:val="32"/>
        </w:rPr>
      </w:pPr>
    </w:p>
    <w:p w14:paraId="456321F3" w14:textId="77777777" w:rsidR="005200F5" w:rsidRPr="005200F5" w:rsidRDefault="002A54C7" w:rsidP="005200F5">
      <w:r>
        <w:rPr>
          <w:rFonts w:ascii="Times New Roman" w:hAnsi="Times New Roman" w:cs="Times New Roman"/>
        </w:rPr>
        <w:t xml:space="preserve">Academic standards, chosen by the Tennessee State Board of Education, provide a common set of expectations for what students should know and be able to do at the end of a </w:t>
      </w:r>
      <w:r w:rsidR="00892E3B">
        <w:rPr>
          <w:rFonts w:ascii="Times New Roman" w:hAnsi="Times New Roman" w:cs="Times New Roman"/>
        </w:rPr>
        <w:t xml:space="preserve">specific </w:t>
      </w:r>
      <w:r>
        <w:rPr>
          <w:rFonts w:ascii="Times New Roman" w:hAnsi="Times New Roman" w:cs="Times New Roman"/>
        </w:rPr>
        <w:t xml:space="preserve">grade or course. </w:t>
      </w:r>
      <w:r w:rsidR="00892E3B">
        <w:rPr>
          <w:rFonts w:ascii="Times New Roman" w:hAnsi="Times New Roman" w:cs="Times New Roman"/>
        </w:rPr>
        <w:t xml:space="preserve"> Local school districts determine the order in which these</w:t>
      </w:r>
      <w:r w:rsidR="00154C3B">
        <w:rPr>
          <w:rFonts w:ascii="Times New Roman" w:hAnsi="Times New Roman" w:cs="Times New Roman"/>
        </w:rPr>
        <w:t xml:space="preserve"> state-</w:t>
      </w:r>
      <w:r w:rsidR="00892E3B">
        <w:rPr>
          <w:rFonts w:ascii="Times New Roman" w:hAnsi="Times New Roman" w:cs="Times New Roman"/>
        </w:rPr>
        <w:t xml:space="preserve">mandated standards are addressed in their schools.  </w:t>
      </w:r>
      <w:r w:rsidR="004D7593">
        <w:rPr>
          <w:rFonts w:ascii="Times New Roman" w:hAnsi="Times New Roman" w:cs="Times New Roman"/>
        </w:rPr>
        <w:t>For a breakdown of</w:t>
      </w:r>
      <w:r w:rsidR="00154C3B">
        <w:rPr>
          <w:rFonts w:ascii="Times New Roman" w:hAnsi="Times New Roman" w:cs="Times New Roman"/>
        </w:rPr>
        <w:t xml:space="preserve"> standard pacing and course objectives</w:t>
      </w:r>
      <w:r w:rsidRPr="002A54C7">
        <w:rPr>
          <w:rFonts w:ascii="Times New Roman" w:hAnsi="Times New Roman" w:cs="Times New Roman"/>
        </w:rPr>
        <w:t xml:space="preserve"> for </w:t>
      </w:r>
      <w:r w:rsidR="002B6A84">
        <w:rPr>
          <w:rFonts w:ascii="Times New Roman" w:hAnsi="Times New Roman" w:cs="Times New Roman"/>
        </w:rPr>
        <w:t>Economics</w:t>
      </w:r>
      <w:r>
        <w:rPr>
          <w:rFonts w:ascii="Times New Roman" w:hAnsi="Times New Roman" w:cs="Times New Roman"/>
          <w:color w:val="008000"/>
        </w:rPr>
        <w:t xml:space="preserve"> </w:t>
      </w:r>
      <w:r w:rsidRPr="002A54C7">
        <w:rPr>
          <w:rFonts w:ascii="Times New Roman" w:hAnsi="Times New Roman" w:cs="Times New Roman"/>
        </w:rPr>
        <w:t>students</w:t>
      </w:r>
      <w:r w:rsidR="00892E3B">
        <w:rPr>
          <w:rFonts w:ascii="Times New Roman" w:hAnsi="Times New Roman" w:cs="Times New Roman"/>
        </w:rPr>
        <w:t xml:space="preserve"> in the Clarksville Montgom</w:t>
      </w:r>
      <w:r w:rsidR="00DB127E">
        <w:rPr>
          <w:rFonts w:ascii="Times New Roman" w:hAnsi="Times New Roman" w:cs="Times New Roman"/>
        </w:rPr>
        <w:t>ery County School System</w:t>
      </w:r>
      <w:r w:rsidRPr="002A54C7">
        <w:rPr>
          <w:rFonts w:ascii="Times New Roman" w:hAnsi="Times New Roman" w:cs="Times New Roman"/>
        </w:rPr>
        <w:t xml:space="preserve">, </w:t>
      </w:r>
      <w:r w:rsidR="00892E3B">
        <w:rPr>
          <w:rFonts w:ascii="Times New Roman" w:hAnsi="Times New Roman" w:cs="Times New Roman"/>
        </w:rPr>
        <w:t xml:space="preserve">please </w:t>
      </w:r>
      <w:r w:rsidRPr="002A54C7">
        <w:rPr>
          <w:rFonts w:ascii="Times New Roman" w:hAnsi="Times New Roman" w:cs="Times New Roman"/>
        </w:rPr>
        <w:t>visit</w:t>
      </w:r>
      <w:r w:rsidR="00892E3B">
        <w:rPr>
          <w:rFonts w:ascii="Times New Roman" w:hAnsi="Times New Roman" w:cs="Times New Roman"/>
        </w:rPr>
        <w:t xml:space="preserve"> the </w:t>
      </w:r>
      <w:r w:rsidR="005200F5" w:rsidRPr="005200F5">
        <w:t>Academic Resources link under the Students &amp; Parents tab on the CMCSS homepage.</w:t>
      </w:r>
    </w:p>
    <w:p w14:paraId="0E1D4FEC" w14:textId="6FB2BA15" w:rsidR="00892E3B" w:rsidRDefault="00892E3B" w:rsidP="002A54C7">
      <w:pPr>
        <w:rPr>
          <w:rFonts w:ascii="Times New Roman" w:hAnsi="Times New Roman" w:cs="Times New Roman"/>
        </w:rPr>
      </w:pPr>
    </w:p>
    <w:p w14:paraId="158FD080" w14:textId="77777777" w:rsidR="00DB127E" w:rsidRDefault="00DB127E" w:rsidP="002A54C7">
      <w:pPr>
        <w:rPr>
          <w:rFonts w:ascii="Times New Roman" w:hAnsi="Times New Roman" w:cs="Times New Roman"/>
        </w:rPr>
      </w:pPr>
    </w:p>
    <w:p w14:paraId="56695C70" w14:textId="77777777" w:rsidR="00285919" w:rsidRPr="004D7593" w:rsidRDefault="00DB127E" w:rsidP="00285919">
      <w:pPr>
        <w:rPr>
          <w:rFonts w:ascii="Times New Roman" w:eastAsia="Times New Roman" w:hAnsi="Times New Roman" w:cs="Times New Roman"/>
        </w:rPr>
      </w:pPr>
      <w:r w:rsidRPr="004D7593">
        <w:rPr>
          <w:rFonts w:ascii="Times New Roman" w:eastAsia="Times New Roman" w:hAnsi="Times New Roman" w:cs="Times New Roman"/>
        </w:rPr>
        <w:t>It is the policy of the Clarksville</w:t>
      </w:r>
      <w:r>
        <w:rPr>
          <w:rFonts w:ascii="Times New Roman" w:eastAsia="Times New Roman" w:hAnsi="Times New Roman" w:cs="Times New Roman"/>
        </w:rPr>
        <w:t xml:space="preserve"> </w:t>
      </w:r>
      <w:r w:rsidRPr="004D7593">
        <w:rPr>
          <w:rFonts w:ascii="Times New Roman" w:eastAsia="Times New Roman" w:hAnsi="Times New Roman" w:cs="Times New Roman"/>
        </w:rPr>
        <w:t xml:space="preserve">Montgomery County School System to follow the dictates of state </w:t>
      </w:r>
      <w:r>
        <w:rPr>
          <w:rFonts w:ascii="Times New Roman" w:eastAsia="Times New Roman" w:hAnsi="Times New Roman" w:cs="Times New Roman"/>
        </w:rPr>
        <w:t>s</w:t>
      </w:r>
      <w:r w:rsidRPr="004D7593">
        <w:rPr>
          <w:rFonts w:ascii="Times New Roman" w:eastAsia="Times New Roman" w:hAnsi="Times New Roman" w:cs="Times New Roman"/>
        </w:rPr>
        <w:t xml:space="preserve">tatues in the selection and use of all </w:t>
      </w:r>
      <w:r>
        <w:rPr>
          <w:rFonts w:ascii="Times New Roman" w:eastAsia="Times New Roman" w:hAnsi="Times New Roman" w:cs="Times New Roman"/>
        </w:rPr>
        <w:t>instructional materials</w:t>
      </w:r>
      <w:r w:rsidRPr="004D7593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Parents or legal guardians may request to review any </w:t>
      </w:r>
      <w:r w:rsidRPr="004D7593">
        <w:rPr>
          <w:rFonts w:ascii="Times New Roman" w:eastAsia="Times New Roman" w:hAnsi="Times New Roman" w:cs="Times New Roman"/>
        </w:rPr>
        <w:t>instructional materials</w:t>
      </w:r>
      <w:r>
        <w:rPr>
          <w:rFonts w:ascii="Times New Roman" w:eastAsia="Times New Roman" w:hAnsi="Times New Roman" w:cs="Times New Roman"/>
        </w:rPr>
        <w:t xml:space="preserve"> </w:t>
      </w:r>
      <w:r w:rsidRPr="004D7593">
        <w:rPr>
          <w:rFonts w:ascii="Times New Roman" w:eastAsia="Times New Roman" w:hAnsi="Times New Roman" w:cs="Times New Roman"/>
        </w:rPr>
        <w:t>used in the classroom of the parent or legal guardian’s child</w:t>
      </w:r>
      <w:r>
        <w:rPr>
          <w:rFonts w:ascii="Times New Roman" w:eastAsia="Times New Roman" w:hAnsi="Times New Roman" w:cs="Times New Roman"/>
        </w:rPr>
        <w:t xml:space="preserve"> following the guideline set forth in Instructional Policy INS-A073 found at: </w:t>
      </w:r>
      <w:hyperlink r:id="rId4" w:history="1">
        <w:r w:rsidR="00285919" w:rsidRPr="00C54402">
          <w:rPr>
            <w:rStyle w:val="Hyperlink"/>
            <w:color w:val="0000FF"/>
          </w:rPr>
          <w:t>https://portal.cmcss.net/iso.aspx?doc=INS-A073.pdf</w:t>
        </w:r>
      </w:hyperlink>
      <w:r w:rsidR="00285919">
        <w:t xml:space="preserve"> </w:t>
      </w:r>
    </w:p>
    <w:p w14:paraId="230C2BC0" w14:textId="77777777" w:rsidR="00285919" w:rsidRDefault="00285919" w:rsidP="00285919">
      <w:pPr>
        <w:rPr>
          <w:rFonts w:ascii="Times New Roman" w:hAnsi="Times New Roman" w:cs="Times New Roman"/>
        </w:rPr>
      </w:pPr>
    </w:p>
    <w:p w14:paraId="70ABA1E8" w14:textId="7756C250" w:rsidR="004D7593" w:rsidRPr="00F94B49" w:rsidRDefault="00F94B49" w:rsidP="002A54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chart below outlines</w:t>
      </w:r>
      <w:r w:rsidR="004D7593">
        <w:rPr>
          <w:rFonts w:ascii="Times New Roman" w:hAnsi="Times New Roman" w:cs="Times New Roman"/>
        </w:rPr>
        <w:t xml:space="preserve"> </w:t>
      </w:r>
      <w:r w:rsidR="00DB127E">
        <w:rPr>
          <w:rFonts w:ascii="Times New Roman" w:hAnsi="Times New Roman" w:cs="Times New Roman"/>
        </w:rPr>
        <w:t xml:space="preserve">the </w:t>
      </w:r>
      <w:r w:rsidR="004D7593">
        <w:rPr>
          <w:rFonts w:ascii="Times New Roman" w:hAnsi="Times New Roman" w:cs="Times New Roman"/>
        </w:rPr>
        <w:t xml:space="preserve">units of study for </w:t>
      </w:r>
      <w:r w:rsidR="002B6A84">
        <w:rPr>
          <w:rFonts w:ascii="Times New Roman" w:hAnsi="Times New Roman" w:cs="Times New Roman"/>
        </w:rPr>
        <w:t>Economics</w:t>
      </w:r>
      <w:r>
        <w:rPr>
          <w:rFonts w:ascii="Times New Roman" w:hAnsi="Times New Roman" w:cs="Times New Roman"/>
        </w:rPr>
        <w:t xml:space="preserve"> and possible major assignments or field trips that could be used to enhance student learning or solidify mastery of standards in </w:t>
      </w:r>
      <w:r w:rsidR="00DB127E">
        <w:rPr>
          <w:rFonts w:ascii="Times New Roman" w:hAnsi="Times New Roman" w:cs="Times New Roman"/>
        </w:rPr>
        <w:t>each unit</w:t>
      </w:r>
      <w:r>
        <w:rPr>
          <w:rFonts w:ascii="Times New Roman" w:hAnsi="Times New Roman" w:cs="Times New Roman"/>
        </w:rPr>
        <w:t xml:space="preserve">.  This chart is not inclusive of every assignment for </w:t>
      </w:r>
      <w:r w:rsidR="002B6A84">
        <w:rPr>
          <w:rFonts w:ascii="Times New Roman" w:hAnsi="Times New Roman" w:cs="Times New Roman"/>
        </w:rPr>
        <w:t>Economics</w:t>
      </w:r>
      <w:r>
        <w:rPr>
          <w:rFonts w:ascii="Times New Roman" w:hAnsi="Times New Roman" w:cs="Times New Roman"/>
        </w:rPr>
        <w:t>, as additional or different assignments may be created based on the needs of students.</w:t>
      </w:r>
      <w:r w:rsidR="00DB127E">
        <w:rPr>
          <w:rFonts w:ascii="Times New Roman" w:hAnsi="Times New Roman" w:cs="Times New Roman"/>
        </w:rPr>
        <w:t xml:space="preserve">  Specific details for major assignments will be shared with students and parents or legal guardians as the standards related to the assignments are addressed in class.</w:t>
      </w:r>
    </w:p>
    <w:p w14:paraId="036F314E" w14:textId="77777777" w:rsidR="00F94B49" w:rsidRDefault="00F94B49" w:rsidP="002A54C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"/>
        <w:gridCol w:w="3398"/>
        <w:gridCol w:w="2295"/>
        <w:gridCol w:w="2201"/>
      </w:tblGrid>
      <w:tr w:rsidR="00F94B49" w14:paraId="3720A958" w14:textId="77777777" w:rsidTr="0057336F">
        <w:tc>
          <w:tcPr>
            <w:tcW w:w="918" w:type="dxa"/>
          </w:tcPr>
          <w:p w14:paraId="5BC31FBA" w14:textId="77777777" w:rsidR="00F94B49" w:rsidRPr="00F94B49" w:rsidRDefault="00F94B49" w:rsidP="00F94B4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67A50AB8" w14:textId="37F2EE24" w:rsidR="00F94B49" w:rsidRPr="00F94B49" w:rsidRDefault="00F94B49" w:rsidP="005733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B49">
              <w:rPr>
                <w:rFonts w:ascii="Times New Roman" w:hAnsi="Times New Roman" w:cs="Times New Roman"/>
                <w:b/>
              </w:rPr>
              <w:t xml:space="preserve">Unit </w:t>
            </w:r>
          </w:p>
        </w:tc>
        <w:tc>
          <w:tcPr>
            <w:tcW w:w="3420" w:type="dxa"/>
          </w:tcPr>
          <w:p w14:paraId="4199211E" w14:textId="77777777" w:rsidR="00F94B49" w:rsidRPr="00F94B49" w:rsidRDefault="00F94B49" w:rsidP="00F94B4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2A98416F" w14:textId="7E945742" w:rsidR="00F94B49" w:rsidRPr="00F94B49" w:rsidRDefault="0057336F" w:rsidP="00F94B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2304" w:type="dxa"/>
          </w:tcPr>
          <w:p w14:paraId="2E130861" w14:textId="77777777" w:rsidR="00F94B49" w:rsidRPr="00F94B49" w:rsidRDefault="00F94B49" w:rsidP="00F94B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B49">
              <w:rPr>
                <w:rFonts w:ascii="Times New Roman" w:hAnsi="Times New Roman" w:cs="Times New Roman"/>
                <w:b/>
              </w:rPr>
              <w:t xml:space="preserve">Possible </w:t>
            </w:r>
            <w:r>
              <w:rPr>
                <w:rFonts w:ascii="Times New Roman" w:hAnsi="Times New Roman" w:cs="Times New Roman"/>
                <w:b/>
              </w:rPr>
              <w:t>Major Assign</w:t>
            </w:r>
            <w:r w:rsidRPr="00F94B49">
              <w:rPr>
                <w:rFonts w:ascii="Times New Roman" w:hAnsi="Times New Roman" w:cs="Times New Roman"/>
                <w:b/>
              </w:rPr>
              <w:t>m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F94B49">
              <w:rPr>
                <w:rFonts w:ascii="Times New Roman" w:hAnsi="Times New Roman" w:cs="Times New Roman"/>
                <w:b/>
              </w:rPr>
              <w:t>nts</w:t>
            </w:r>
          </w:p>
        </w:tc>
        <w:tc>
          <w:tcPr>
            <w:tcW w:w="2214" w:type="dxa"/>
          </w:tcPr>
          <w:p w14:paraId="2B354EE6" w14:textId="77777777" w:rsidR="00F94B49" w:rsidRPr="00F94B49" w:rsidRDefault="00F94B49" w:rsidP="00F94B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B49">
              <w:rPr>
                <w:rFonts w:ascii="Times New Roman" w:hAnsi="Times New Roman" w:cs="Times New Roman"/>
                <w:b/>
              </w:rPr>
              <w:t>Possible Field Trips</w:t>
            </w:r>
          </w:p>
        </w:tc>
      </w:tr>
      <w:tr w:rsidR="00F94B49" w14:paraId="15D44F1F" w14:textId="77777777" w:rsidTr="0057336F">
        <w:tc>
          <w:tcPr>
            <w:tcW w:w="918" w:type="dxa"/>
          </w:tcPr>
          <w:p w14:paraId="7B0D5BFF" w14:textId="34B67E91" w:rsidR="00F94B49" w:rsidRDefault="00BE5A4B" w:rsidP="00BE5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14:paraId="4A8F4D55" w14:textId="5EA7145F" w:rsidR="00F94B49" w:rsidRDefault="002B6A84" w:rsidP="00BE5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Scarcity and Economic Reasoning</w:t>
            </w:r>
          </w:p>
        </w:tc>
        <w:tc>
          <w:tcPr>
            <w:tcW w:w="2304" w:type="dxa"/>
          </w:tcPr>
          <w:p w14:paraId="76968DEB" w14:textId="77777777" w:rsidR="00F94B49" w:rsidRDefault="00F94B49" w:rsidP="00BE5A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08CF5AA0" w14:textId="77777777" w:rsidR="00F94B49" w:rsidRDefault="00F94B49" w:rsidP="00BE5A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B49" w14:paraId="65F80F28" w14:textId="77777777" w:rsidTr="0057336F">
        <w:tc>
          <w:tcPr>
            <w:tcW w:w="918" w:type="dxa"/>
          </w:tcPr>
          <w:p w14:paraId="0CEC0513" w14:textId="58224708" w:rsidR="00F94B49" w:rsidRDefault="00BE5A4B" w:rsidP="00BE5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0" w:type="dxa"/>
          </w:tcPr>
          <w:p w14:paraId="558B4ED7" w14:textId="4AC564D7" w:rsidR="00F94B49" w:rsidRDefault="002B6A84" w:rsidP="00BE5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Supply and Demand</w:t>
            </w:r>
          </w:p>
        </w:tc>
        <w:tc>
          <w:tcPr>
            <w:tcW w:w="2304" w:type="dxa"/>
          </w:tcPr>
          <w:p w14:paraId="5C5C7CFF" w14:textId="77777777" w:rsidR="00F94B49" w:rsidRDefault="00F94B49" w:rsidP="00BE5A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63343C3E" w14:textId="77777777" w:rsidR="00F94B49" w:rsidRDefault="00F94B49" w:rsidP="00BE5A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B49" w14:paraId="10CD31A7" w14:textId="77777777" w:rsidTr="0057336F">
        <w:tc>
          <w:tcPr>
            <w:tcW w:w="918" w:type="dxa"/>
          </w:tcPr>
          <w:p w14:paraId="786A5C4D" w14:textId="360BED40" w:rsidR="00F94B49" w:rsidRDefault="00BE5A4B" w:rsidP="00BE5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0" w:type="dxa"/>
          </w:tcPr>
          <w:p w14:paraId="2363EFF5" w14:textId="11BA6E44" w:rsidR="00F94B49" w:rsidRDefault="002B6A84" w:rsidP="00BE5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Market Structures</w:t>
            </w:r>
          </w:p>
        </w:tc>
        <w:tc>
          <w:tcPr>
            <w:tcW w:w="2304" w:type="dxa"/>
          </w:tcPr>
          <w:p w14:paraId="4BF958C1" w14:textId="77777777" w:rsidR="00F94B49" w:rsidRDefault="00F94B49" w:rsidP="00BE5A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37CEBA48" w14:textId="77777777" w:rsidR="00F94B49" w:rsidRDefault="00F94B49" w:rsidP="00BE5A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B49" w14:paraId="2A250D82" w14:textId="77777777" w:rsidTr="0057336F">
        <w:tc>
          <w:tcPr>
            <w:tcW w:w="918" w:type="dxa"/>
          </w:tcPr>
          <w:p w14:paraId="2AF690D0" w14:textId="029986F2" w:rsidR="00F94B49" w:rsidRDefault="00BE5A4B" w:rsidP="00BE5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0" w:type="dxa"/>
          </w:tcPr>
          <w:p w14:paraId="501E376E" w14:textId="2F536FB5" w:rsidR="00F94B49" w:rsidRDefault="009B1E22" w:rsidP="00BE5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 Economic Performance</w:t>
            </w:r>
          </w:p>
        </w:tc>
        <w:tc>
          <w:tcPr>
            <w:tcW w:w="2304" w:type="dxa"/>
          </w:tcPr>
          <w:p w14:paraId="324155D2" w14:textId="77777777" w:rsidR="00F94B49" w:rsidRDefault="00F94B49" w:rsidP="00BE5A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0F86317C" w14:textId="77777777" w:rsidR="00F94B49" w:rsidRDefault="00F94B49" w:rsidP="00BE5A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A4B" w14:paraId="7424645C" w14:textId="77777777" w:rsidTr="0057336F">
        <w:tc>
          <w:tcPr>
            <w:tcW w:w="918" w:type="dxa"/>
          </w:tcPr>
          <w:p w14:paraId="1735B2AA" w14:textId="006C1EC7" w:rsidR="00BE5A4B" w:rsidRDefault="00BE5A4B" w:rsidP="00BE5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0" w:type="dxa"/>
          </w:tcPr>
          <w:p w14:paraId="0213DC42" w14:textId="79E636F5" w:rsidR="00BE5A4B" w:rsidRDefault="009B1E22" w:rsidP="00BE5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Role of Government</w:t>
            </w:r>
          </w:p>
        </w:tc>
        <w:tc>
          <w:tcPr>
            <w:tcW w:w="2304" w:type="dxa"/>
          </w:tcPr>
          <w:p w14:paraId="4EF581CE" w14:textId="77777777" w:rsidR="00BE5A4B" w:rsidRDefault="00BE5A4B" w:rsidP="00BE5A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3B818DA9" w14:textId="77777777" w:rsidR="00BE5A4B" w:rsidRDefault="00BE5A4B" w:rsidP="00BE5A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A4B" w14:paraId="38C49503" w14:textId="77777777" w:rsidTr="0057336F">
        <w:tc>
          <w:tcPr>
            <w:tcW w:w="918" w:type="dxa"/>
          </w:tcPr>
          <w:p w14:paraId="483A7218" w14:textId="4EE55C7C" w:rsidR="00BE5A4B" w:rsidRDefault="00BE5A4B" w:rsidP="00BE5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20" w:type="dxa"/>
          </w:tcPr>
          <w:p w14:paraId="0537D79E" w14:textId="513D7766" w:rsidR="00BE5A4B" w:rsidRDefault="009B1E22" w:rsidP="00BE5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Trade</w:t>
            </w:r>
          </w:p>
        </w:tc>
        <w:tc>
          <w:tcPr>
            <w:tcW w:w="2304" w:type="dxa"/>
          </w:tcPr>
          <w:p w14:paraId="4A577428" w14:textId="77777777" w:rsidR="00BE5A4B" w:rsidRDefault="00BE5A4B" w:rsidP="00BE5A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180FFF5F" w14:textId="77777777" w:rsidR="00BE5A4B" w:rsidRDefault="00BE5A4B" w:rsidP="00BE5A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A83F530" w14:textId="77777777" w:rsidR="00154C3B" w:rsidRDefault="00154C3B" w:rsidP="002A54C7">
      <w:pPr>
        <w:rPr>
          <w:rFonts w:ascii="Times New Roman" w:hAnsi="Times New Roman" w:cs="Times New Roman"/>
        </w:rPr>
      </w:pPr>
    </w:p>
    <w:p w14:paraId="63621EC8" w14:textId="77777777" w:rsidR="004D7593" w:rsidRDefault="004D7593" w:rsidP="004D7593">
      <w:pPr>
        <w:rPr>
          <w:rFonts w:ascii="Times New Roman" w:eastAsia="Times New Roman" w:hAnsi="Times New Roman" w:cs="Times New Roman"/>
        </w:rPr>
      </w:pPr>
    </w:p>
    <w:p w14:paraId="4643D185" w14:textId="77777777" w:rsidR="004D7593" w:rsidRPr="004D7593" w:rsidRDefault="004D7593" w:rsidP="004D7593">
      <w:pPr>
        <w:rPr>
          <w:rFonts w:ascii="Times New Roman" w:eastAsia="Times New Roman" w:hAnsi="Times New Roman" w:cs="Times New Roman"/>
        </w:rPr>
      </w:pPr>
    </w:p>
    <w:p w14:paraId="32C9C69D" w14:textId="77777777" w:rsidR="00154C3B" w:rsidRDefault="00154C3B" w:rsidP="002A54C7">
      <w:pPr>
        <w:rPr>
          <w:rFonts w:ascii="Times New Roman" w:hAnsi="Times New Roman" w:cs="Times New Roman"/>
        </w:rPr>
      </w:pPr>
    </w:p>
    <w:p w14:paraId="01D55313" w14:textId="77777777" w:rsidR="00892E3B" w:rsidRDefault="00892E3B" w:rsidP="002A54C7">
      <w:pPr>
        <w:rPr>
          <w:rFonts w:ascii="Times New Roman" w:hAnsi="Times New Roman" w:cs="Times New Roman"/>
        </w:rPr>
      </w:pPr>
    </w:p>
    <w:p w14:paraId="6FE0B1CD" w14:textId="77777777" w:rsidR="00892E3B" w:rsidRDefault="00892E3B" w:rsidP="002A54C7">
      <w:pPr>
        <w:rPr>
          <w:rFonts w:ascii="Times New Roman" w:hAnsi="Times New Roman" w:cs="Times New Roman"/>
        </w:rPr>
      </w:pPr>
    </w:p>
    <w:p w14:paraId="1A1204A2" w14:textId="77777777" w:rsidR="002A54C7" w:rsidRPr="00892E3B" w:rsidRDefault="00892E3B" w:rsidP="002A54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sectPr w:rsidR="002A54C7" w:rsidRPr="00892E3B" w:rsidSect="00DB127E"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C7"/>
    <w:rsid w:val="001070BC"/>
    <w:rsid w:val="00154C3B"/>
    <w:rsid w:val="00285919"/>
    <w:rsid w:val="002A54C7"/>
    <w:rsid w:val="002B6A84"/>
    <w:rsid w:val="0036632E"/>
    <w:rsid w:val="004D7593"/>
    <w:rsid w:val="005200F5"/>
    <w:rsid w:val="0057336F"/>
    <w:rsid w:val="007A35C6"/>
    <w:rsid w:val="00892E3B"/>
    <w:rsid w:val="009B1E22"/>
    <w:rsid w:val="00BE5A4B"/>
    <w:rsid w:val="00DB127E"/>
    <w:rsid w:val="00F9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D76889"/>
  <w14:defaultImageDpi w14:val="300"/>
  <w15:docId w15:val="{C6EDA90E-9B90-8D4C-B998-AD6C376B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E3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4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200F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9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.cmcss.net/iso.aspx?doc=INS-A07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CMCSS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CMCSS CMCSS</dc:creator>
  <cp:keywords/>
  <dc:description/>
  <cp:lastModifiedBy>admin</cp:lastModifiedBy>
  <cp:revision>2</cp:revision>
  <dcterms:created xsi:type="dcterms:W3CDTF">2019-08-05T15:59:00Z</dcterms:created>
  <dcterms:modified xsi:type="dcterms:W3CDTF">2019-08-05T15:59:00Z</dcterms:modified>
</cp:coreProperties>
</file>